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jc w:val="right"/>
      </w:pPr>
      <w:r>
        <w:rPr>
          <w:rFonts w:ascii="Calibri" w:hAnsi="Calibri"/>
          <w:b/>
          <w:sz w:val="32"/>
          <w:rtl w:val="1"/>
        </w:rPr>
        <w:t>كتالوج منازل الكبسولة والمباني الجاهزة للسياحة 2026</w:t>
      </w:r>
    </w:p>
    <w:p>
      <w:pPr>
        <w:pStyle w:val="Heading2"/>
        <w:bidi w:val="1"/>
        <w:jc w:val="right"/>
      </w:pPr>
      <w:r>
        <w:rPr>
          <w:rFonts w:ascii="Calibri" w:hAnsi="Calibri"/>
          <w:b/>
          <w:sz w:val="26"/>
          <w:rtl w:val="1"/>
        </w:rPr>
        <w:t>CNVera</w:t>
      </w:r>
    </w:p>
    <w:p>
      <w:pPr>
        <w:bidi w:val="1"/>
        <w:jc w:val="right"/>
      </w:pPr>
      <w:r>
        <w:rPr>
          <w:rFonts w:ascii="Calibri" w:hAnsi="Calibri"/>
          <w:b w:val="0"/>
          <w:sz w:val="21"/>
          <w:rtl w:val="1"/>
        </w:rPr>
        <w:t>منازل كبسولة فضائية، ومنازل كبسولة معيارية، وكبائن التفاحة، ومنازل مثلثة بإطار A، مخصصة للمنتجعات ومواقع التخييم والفنادق والوجهات السياحية — تصمّمها وتصنّعها في المصنع وتركّبها قاعدة الإنتاج الشريكة لـCNVera في الصين، كخدمة متكاملة من مصدر واحد.</w:t>
      </w:r>
    </w:p>
    <w:p>
      <w:pPr>
        <w:pStyle w:val="Heading2"/>
        <w:bidi w:val="1"/>
        <w:jc w:val="right"/>
      </w:pPr>
      <w:r>
        <w:rPr>
          <w:rFonts w:ascii="Calibri" w:hAnsi="Calibri"/>
          <w:b/>
          <w:sz w:val="26"/>
          <w:rtl w:val="1"/>
        </w:rPr>
        <w:t>نظرة عامة على المجموعة</w:t>
      </w:r>
    </w:p>
    <w:p>
      <w:pPr>
        <w:bidi w:val="1"/>
        <w:jc w:val="right"/>
      </w:pPr>
      <w:r>
        <w:rPr>
          <w:rFonts w:ascii="Calibri" w:hAnsi="Calibri"/>
          <w:b w:val="0"/>
          <w:sz w:val="21"/>
          <w:rtl w:val="1"/>
        </w:rPr>
        <w:t>أربعة عشر طرازًا في أربع عائلات: منازل الكبسولة المعيارية من سلسلة M، ومنازل الكبسولة الفضائية من سلسلة X، ومنازل كبسولة التفاحة من سلسلة P (إضافة إلى طراز من طبقتين والطراز المدمج S3)، والمنزل المثلث V6. تُستكمل كل وحدة بالكامل داخل المصنع — الهيكل والعزل والزجاج والحمّام وأنظمة تجهيز المطبخ والتحكم الذكي — وتُركَّب في الموقع خلال ساعتين تقريبًا، دون صبّ أساسات ودون إضرار بالأرض. وتضم قاعدتا إنتاج بمساحة إجمالية تناهز 50,000 m² وأكثر من 200 محطة إنتاج، تسلّمان ما يزيد على 200 وحدة شهريًا؛ وقد أُنجزت مشاريع في أكثر من 60 مدينة وأكثر من 20 دولة.</w:t>
      </w:r>
    </w:p>
    <w:p>
      <w:pPr>
        <w:pStyle w:val="Heading2"/>
        <w:bidi w:val="1"/>
        <w:jc w:val="right"/>
      </w:pPr>
      <w:r>
        <w:rPr>
          <w:rFonts w:ascii="Calibri" w:hAnsi="Calibri"/>
          <w:b/>
          <w:sz w:val="26"/>
          <w:rtl w:val="1"/>
        </w:rPr>
        <w:t>لماذا يختار المشغّلون منازل الكبسولة</w:t>
      </w:r>
    </w:p>
    <w:p>
      <w:pPr>
        <w:pStyle w:val="ListBullet"/>
        <w:bidi w:val="1"/>
        <w:jc w:val="right"/>
      </w:pPr>
      <w:r>
        <w:rPr>
          <w:rFonts w:ascii="Calibri" w:hAnsi="Calibri"/>
          <w:b w:val="0"/>
          <w:sz w:val="21"/>
          <w:rtl w:val="1"/>
        </w:rPr>
        <w:t>بلا أساسات، لأي تضاريس: قواعد دعم قابلة للتعديل بدلاً من البلاطات الخرسانية؛ تستقر الوحدات على القمم وفي الغابات وعلى الشواطئ والمسطحات الطينية دون تدمير الغطاء النباتي أو ترك مخلفات بناء.</w:t>
      </w:r>
    </w:p>
    <w:p>
      <w:pPr>
        <w:pStyle w:val="ListBullet"/>
        <w:bidi w:val="1"/>
        <w:jc w:val="right"/>
      </w:pPr>
      <w:r>
        <w:rPr>
          <w:rFonts w:ascii="Calibri" w:hAnsi="Calibri"/>
          <w:b w:val="0"/>
          <w:sz w:val="21"/>
          <w:rtl w:val="1"/>
        </w:rPr>
        <w:t>عائد سريع: نحو 30 يومًا من الإنتاج في المصنع، ثم قرابة ساعتين للتركيب والافتتاح — إذ يمكن لمخيم أو توسعة منتجع أن يبدأ التشغيل خلال موسم واحد، لا خلال دورة بناء كاملة.</w:t>
      </w:r>
    </w:p>
    <w:p>
      <w:pPr>
        <w:pStyle w:val="ListBullet"/>
        <w:bidi w:val="1"/>
        <w:jc w:val="right"/>
      </w:pPr>
      <w:r>
        <w:rPr>
          <w:rFonts w:ascii="Calibri" w:hAnsi="Calibri"/>
          <w:b w:val="0"/>
          <w:sz w:val="21"/>
          <w:rtl w:val="1"/>
        </w:rPr>
        <w:t>مصممة لتُصوَّر: تصميم الكبسولة المستقبلي مع زجاج بانورامي بزاوية 270° مغناطيس طبيعي لوسائل التواصل الاجتماعي؛ يأتي النزلاء من أجل الإطلالة ويبقون من أجل المحتوى.</w:t>
      </w:r>
    </w:p>
    <w:p>
      <w:pPr>
        <w:pStyle w:val="ListBullet"/>
        <w:bidi w:val="1"/>
        <w:jc w:val="right"/>
      </w:pPr>
      <w:r>
        <w:rPr>
          <w:rFonts w:ascii="Calibri" w:hAnsi="Calibri"/>
          <w:b w:val="0"/>
          <w:sz w:val="21"/>
          <w:rtl w:val="1"/>
        </w:rPr>
        <w:t>مُهندَسة كمركبة: إطار فولاذي مجلفن ملحوم وقشرة من ألمنيوم الطيران المطلية بالفلوروكربون، مصممة وفق معيار الفولاذ GB50017، بدرجة مقاومة زلزالية 9، ومقاومة رياح حتى مستوى إعصار 12، وعمر تصميمي يتجاوز 50 عامًا في الهواء الطلق.</w:t>
      </w:r>
    </w:p>
    <w:p>
      <w:pPr>
        <w:pStyle w:val="Heading2"/>
        <w:bidi w:val="1"/>
        <w:jc w:val="right"/>
      </w:pPr>
      <w:r>
        <w:rPr>
          <w:rFonts w:ascii="Calibri" w:hAnsi="Calibri"/>
          <w:b/>
          <w:sz w:val="26"/>
          <w:rtl w:val="1"/>
        </w:rPr>
        <w:t>البناء والأنظمة</w:t>
      </w:r>
    </w:p>
    <w:p>
      <w:pPr>
        <w:pStyle w:val="ListBullet"/>
        <w:bidi w:val="1"/>
        <w:jc w:val="right"/>
      </w:pPr>
      <w:r>
        <w:rPr>
          <w:rFonts w:ascii="Calibri" w:hAnsi="Calibri"/>
          <w:b w:val="0"/>
          <w:sz w:val="21"/>
          <w:rtl w:val="1"/>
        </w:rPr>
        <w:t>الهيكل: إطار فولاذي مجلفن بالغمس الساخن، مقطوع بالليزر وملحوم آليًا بالكامل (لحام كامل، GB50017)، وقشرة من سبائك الألمنيوم مرشوشة بالفلوروكربون — مقاومة للرطوبة والتآكل والصدأ.</w:t>
      </w:r>
    </w:p>
    <w:p>
      <w:pPr>
        <w:pStyle w:val="ListBullet"/>
        <w:bidi w:val="1"/>
        <w:jc w:val="right"/>
      </w:pPr>
      <w:r>
        <w:rPr>
          <w:rFonts w:ascii="Calibri" w:hAnsi="Calibri"/>
          <w:b w:val="0"/>
          <w:sz w:val="21"/>
          <w:rtl w:val="1"/>
        </w:rPr>
        <w:t>الزجاج: زجاج مقسّى مزدوج الطبقات مجوّف منخفض الانبعاث Low-E (6 mm + 6 mm، مملوء بالأرغون، مع فاصل ألمنيوم 15 mm) للعزل الحراري وعزل الصوت وإطلالات بانورامية صافية؛ مع خيارات كوّات سقفية مصفّحة.</w:t>
      </w:r>
    </w:p>
    <w:p>
      <w:pPr>
        <w:pStyle w:val="ListBullet"/>
        <w:bidi w:val="1"/>
        <w:jc w:val="right"/>
      </w:pPr>
      <w:r>
        <w:rPr>
          <w:rFonts w:ascii="Calibri" w:hAnsi="Calibri"/>
          <w:b w:val="0"/>
          <w:sz w:val="21"/>
          <w:rtl w:val="1"/>
        </w:rPr>
        <w:t>العزل: طبقة عزل من البولي يوريثان (نسبة خلايا مغلقة ≥ 95%)، معالجة بمثبطات الحريق، وخالية من الفورمالديهايد؛ أرضيات من مركّب الحجر والبلاستيك SPC مع طبقة سفلية كاتمة للصوت.</w:t>
      </w:r>
    </w:p>
    <w:p>
      <w:pPr>
        <w:pStyle w:val="ListBullet"/>
        <w:bidi w:val="1"/>
        <w:jc w:val="right"/>
      </w:pPr>
      <w:r>
        <w:rPr>
          <w:rFonts w:ascii="Calibri" w:hAnsi="Calibri"/>
          <w:b w:val="0"/>
          <w:sz w:val="21"/>
          <w:rtl w:val="1"/>
        </w:rPr>
        <w:t>أنظمة المنزل الكاملة: تهوية بالهواء النقي مع ترشيح، وتنقية مياه للمنزل بأكمله، ومكيف هواء Midea بالإنفرتر للتدفئة والتبريد، وسخان مياه مدمج، وأنظمة سباكة وكهرباء كاملة.</w:t>
      </w:r>
    </w:p>
    <w:p>
      <w:pPr>
        <w:pStyle w:val="ListBullet"/>
        <w:bidi w:val="1"/>
        <w:jc w:val="right"/>
      </w:pPr>
      <w:r>
        <w:rPr>
          <w:rFonts w:ascii="Calibri" w:hAnsi="Calibri"/>
          <w:b w:val="0"/>
          <w:sz w:val="21"/>
          <w:rtl w:val="1"/>
        </w:rPr>
        <w:t>التحكم الذكي: تحكم صوتي في الإضاءة والستائر ومظلات الكوّات السقفية والتكييف ونظام الهواء النقي؛ لوحة طاقة بمفتاح بطاقة وأوضاع إضاءة متعددة السيناريوهات.</w:t>
      </w:r>
    </w:p>
    <w:p>
      <w:pPr>
        <w:pStyle w:val="Heading2"/>
        <w:bidi w:val="1"/>
        <w:jc w:val="right"/>
      </w:pPr>
      <w:r>
        <w:rPr>
          <w:rFonts w:ascii="Calibri" w:hAnsi="Calibri"/>
          <w:b/>
          <w:sz w:val="26"/>
          <w:rtl w:val="1"/>
        </w:rPr>
        <w:t>التجهيزات القياسية</w:t>
      </w:r>
    </w:p>
    <w:p>
      <w:pPr>
        <w:bidi w:val="1"/>
        <w:jc w:val="right"/>
      </w:pPr>
      <w:r>
        <w:rPr>
          <w:rFonts w:ascii="Calibri" w:hAnsi="Calibri"/>
          <w:b w:val="0"/>
          <w:sz w:val="21"/>
          <w:rtl w:val="1"/>
        </w:rPr>
        <w:t>التشطيبات الداخلية (سقف ألمنيوم، أرضيات SPC، باب زجاجي لخصوصية الحمّام، أرضية حمّام من الرخام/البلاط، مغسلة ومرآة مصممتان خصيصًا، تجهيزات المرحاض والصنابير والدش)، وشرفة بانورامية حيث يوفرها الطراز، وإضاءة للمنزل بأكمله، وأنظمة السباكة والكهرباء، ومسارات ستائر كهربائية ومظلات للكوّات السقفية، وباب مدخل مخصص وفق المشروع. وتتوفر بتكلفة إضافية خيارات اختيارية: منصة سلّم المدخل، ستائر تعتيم، نظام موسيقى خلفية، جهاز عرض/تلفاز، عزل جدران مزدوج الطبقات، تدفئة أرضية كهربائية، مرحاض ذكي، أسرّة وأثاث، نظام مطبخ.</w:t>
      </w:r>
    </w:p>
    <w:p>
      <w:pPr>
        <w:pStyle w:val="Heading2"/>
        <w:bidi w:val="1"/>
        <w:jc w:val="right"/>
      </w:pPr>
      <w:r>
        <w:rPr>
          <w:rFonts w:ascii="Calibri" w:hAnsi="Calibri"/>
          <w:b/>
          <w:sz w:val="26"/>
          <w:rtl w:val="1"/>
        </w:rPr>
        <w:t>الشهادات والجودة</w:t>
      </w:r>
    </w:p>
    <w:p>
      <w:pPr>
        <w:bidi w:val="1"/>
        <w:jc w:val="right"/>
      </w:pPr>
      <w:r>
        <w:rPr>
          <w:rFonts w:ascii="Calibri" w:hAnsi="Calibri"/>
          <w:b w:val="0"/>
          <w:sz w:val="21"/>
          <w:rtl w:val="1"/>
        </w:rPr>
        <w:t>المجموعة حاصلة على شهادة CE للسوق الأوروبية، وتغطيها أكثر من 80 براءة اختراع وبراءة نموذج منفعة. وتُرفق الشهادات والوثائق مع طلبات التصدير عند الطلب.</w:t>
      </w:r>
    </w:p>
    <w:p>
      <w:pPr>
        <w:bidi w:val="1"/>
        <w:jc w:val="right"/>
      </w:pPr>
      <w:r>
        <w:rPr>
          <w:rFonts w:ascii="Calibri" w:hAnsi="Calibri"/>
          <w:b w:val="0"/>
          <w:sz w:val="21"/>
          <w:rtl w:val="1"/>
        </w:rPr>
        <w:t>المواصفات الواردة أدناه تتبع نشرات بيانات الشركة المصنّعة وقابلة للتغيير دون إشعار مسبق. تواصلوا معنا للحصول على الأسعار الحالية ودعم تصميم المشاريع وخيارات OEM.</w:t>
      </w:r>
    </w:p>
    <w:p>
      <w:pPr>
        <w:pStyle w:val="Heading1"/>
        <w:bidi w:val="1"/>
        <w:jc w:val="right"/>
      </w:pPr>
      <w:r>
        <w:rPr>
          <w:rFonts w:ascii="Calibri" w:hAnsi="Calibri"/>
          <w:b/>
          <w:sz w:val="32"/>
          <w:rtl w:val="1"/>
        </w:rPr>
        <w:t>1. منازل الكبسولة المعيارية</w:t>
      </w:r>
    </w:p>
    <w:p>
      <w:pPr>
        <w:pStyle w:val="Heading2"/>
        <w:bidi w:val="1"/>
        <w:jc w:val="right"/>
      </w:pPr>
      <w:r>
        <w:rPr>
          <w:rFonts w:ascii="Calibri" w:hAnsi="Calibri"/>
          <w:b/>
          <w:sz w:val="26"/>
          <w:rtl w:val="1"/>
        </w:rPr>
        <w:t>M7</w:t>
      </w:r>
    </w:p>
    <w:p>
      <w:pPr>
        <w:bidi w:val="1"/>
        <w:jc w:val="right"/>
      </w:pPr>
      <w:r>
        <w:rPr>
          <w:rFonts w:ascii="Calibri" w:hAnsi="Calibri"/>
          <w:b w:val="0"/>
          <w:sz w:val="21"/>
          <w:rtl w:val="1"/>
        </w:rPr>
        <w:t>الوحدة المعيارية الرائدة: توزيع شقة متكامل يضم غرفة نوم وغرفة معيشة وحمّامًا، مع زجاج بانورامي على شكل L عند الطرفين وتجهيزات منزل ذكي في جميع الأنحاء.</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10000 x (W) 3600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36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2–4 نزلاء</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غرفة معيشة واحدة، حمّام واحد</w:t>
            </w:r>
          </w:p>
        </w:tc>
      </w:tr>
    </w:tbl>
    <w:p/>
    <w:p>
      <w:pPr>
        <w:pStyle w:val="Heading2"/>
        <w:bidi w:val="1"/>
        <w:jc w:val="right"/>
      </w:pPr>
      <w:r>
        <w:rPr>
          <w:rFonts w:ascii="Calibri" w:hAnsi="Calibri"/>
          <w:b/>
          <w:sz w:val="26"/>
          <w:rtl w:val="1"/>
        </w:rPr>
        <w:t>M5</w:t>
      </w:r>
    </w:p>
    <w:p>
      <w:pPr>
        <w:bidi w:val="1"/>
        <w:jc w:val="right"/>
      </w:pPr>
      <w:r>
        <w:rPr>
          <w:rFonts w:ascii="Calibri" w:hAnsi="Calibri"/>
          <w:b w:val="0"/>
          <w:sz w:val="21"/>
          <w:rtl w:val="1"/>
        </w:rPr>
        <w:t>جناح بغرفة نوم واحدة للأزواج — الحجم العملي الأساسي لمخزون غرف المنتجعات وترقيات مواقع التخييم.</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7560 x (W) 3600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27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w:t>
            </w:r>
          </w:p>
        </w:tc>
      </w:tr>
    </w:tbl>
    <w:p/>
    <w:p>
      <w:pPr>
        <w:pStyle w:val="Heading2"/>
        <w:bidi w:val="1"/>
        <w:jc w:val="right"/>
      </w:pPr>
      <w:r>
        <w:rPr>
          <w:rFonts w:ascii="Calibri" w:hAnsi="Calibri"/>
          <w:b/>
          <w:sz w:val="26"/>
          <w:rtl w:val="1"/>
        </w:rPr>
        <w:t>M3</w:t>
      </w:r>
    </w:p>
    <w:p>
      <w:pPr>
        <w:bidi w:val="1"/>
        <w:jc w:val="right"/>
      </w:pPr>
      <w:r>
        <w:rPr>
          <w:rFonts w:ascii="Calibri" w:hAnsi="Calibri"/>
          <w:b w:val="0"/>
          <w:sz w:val="21"/>
          <w:rtl w:val="1"/>
        </w:rPr>
        <w:t>الوحدة المعيارية المدمجة: غرفة فندق متكاملة في 18 m²، مثالية للمخيمات الكثيفة وسكن الموظفين ومشاريع المرحلة الأولى.</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5120 x (W) 3600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18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w:t>
            </w:r>
          </w:p>
        </w:tc>
      </w:tr>
    </w:tbl>
    <w:p/>
    <w:p>
      <w:pPr>
        <w:pStyle w:val="Heading1"/>
        <w:bidi w:val="1"/>
        <w:jc w:val="right"/>
      </w:pPr>
      <w:r>
        <w:rPr>
          <w:rFonts w:ascii="Calibri" w:hAnsi="Calibri"/>
          <w:b/>
          <w:sz w:val="32"/>
          <w:rtl w:val="1"/>
        </w:rPr>
        <w:t>2. منازل الكبسولة الفضائية</w:t>
      </w:r>
    </w:p>
    <w:p>
      <w:pPr>
        <w:pStyle w:val="Heading2"/>
        <w:bidi w:val="1"/>
        <w:jc w:val="right"/>
      </w:pPr>
      <w:r>
        <w:rPr>
          <w:rFonts w:ascii="Calibri" w:hAnsi="Calibri"/>
          <w:b/>
          <w:sz w:val="26"/>
          <w:rtl w:val="1"/>
        </w:rPr>
        <w:t>X9</w:t>
      </w:r>
    </w:p>
    <w:p>
      <w:pPr>
        <w:bidi w:val="1"/>
        <w:jc w:val="right"/>
      </w:pPr>
      <w:r>
        <w:rPr>
          <w:rFonts w:ascii="Calibri" w:hAnsi="Calibri"/>
          <w:b w:val="0"/>
          <w:sz w:val="21"/>
          <w:rtl w:val="1"/>
        </w:rPr>
        <w:t>أكبر كبسولة فضائية: خيارا توزيع يصلان إلى غرفتي نوم، مع شرفة بانورامية — منزل عطلات قائم بذاته.</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11500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38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2–4 نزلاء</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15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غرفتا نوم، حمّام واحد، شرفة واحدة؛ أو غرفة نوم واحدة، غرفة معيشة واحدة، حمّام واحد، شرفة واحدة</w:t>
            </w:r>
          </w:p>
        </w:tc>
      </w:tr>
    </w:tbl>
    <w:p/>
    <w:p>
      <w:pPr>
        <w:pStyle w:val="Heading2"/>
        <w:bidi w:val="1"/>
        <w:jc w:val="right"/>
      </w:pPr>
      <w:r>
        <w:rPr>
          <w:rFonts w:ascii="Calibri" w:hAnsi="Calibri"/>
          <w:b/>
          <w:sz w:val="26"/>
          <w:rtl w:val="1"/>
        </w:rPr>
        <w:t>X7</w:t>
      </w:r>
    </w:p>
    <w:p>
      <w:pPr>
        <w:bidi w:val="1"/>
        <w:jc w:val="right"/>
      </w:pPr>
      <w:r>
        <w:rPr>
          <w:rFonts w:ascii="Calibri" w:hAnsi="Calibri"/>
          <w:b w:val="0"/>
          <w:sz w:val="21"/>
          <w:rtl w:val="1"/>
        </w:rPr>
        <w:t>الكبسولة المميزة في المجموعة — الطراز المركّب في منتجع جزيرة شونشا الصحراوي. توزيعات بغرفتي نوم، وجناح، وشقة.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11500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38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2–4 نزلاء</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15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غرفتا نوم، حمّام واحد، شرفة واحدة؛ أو غرفة نوم واحدة، غرفة معيشة واحدة، حمّام واحد (خيار الشرفة)</w:t>
            </w:r>
          </w:p>
        </w:tc>
      </w:tr>
    </w:tbl>
    <w:p/>
    <w:p>
      <w:pPr>
        <w:pStyle w:val="Heading2"/>
        <w:bidi w:val="1"/>
        <w:jc w:val="right"/>
      </w:pPr>
      <w:r>
        <w:rPr>
          <w:rFonts w:ascii="Calibri" w:hAnsi="Calibri"/>
          <w:b/>
          <w:sz w:val="26"/>
          <w:rtl w:val="1"/>
        </w:rPr>
        <w:t>X6</w:t>
      </w:r>
    </w:p>
    <w:p>
      <w:pPr>
        <w:bidi w:val="1"/>
        <w:jc w:val="right"/>
      </w:pPr>
      <w:r>
        <w:rPr>
          <w:rFonts w:ascii="Calibri" w:hAnsi="Calibri"/>
          <w:b w:val="0"/>
          <w:sz w:val="21"/>
          <w:rtl w:val="1"/>
        </w:rPr>
        <w:t>كبسولة متوسطة الحجم بتوزيعات عائلية — غرفتا نوم أو جناح بغرفة نوم وغرفة معيشة.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9500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31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2–4 نزلاء</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غرفتا نوم، حمّام واحد؛ أو غرفة نوم واحدة، غرفة معيشة واحدة، حمّام واحد</w:t>
            </w:r>
          </w:p>
        </w:tc>
      </w:tr>
    </w:tbl>
    <w:p/>
    <w:p>
      <w:pPr>
        <w:pStyle w:val="Heading2"/>
        <w:bidi w:val="1"/>
        <w:jc w:val="right"/>
      </w:pPr>
      <w:r>
        <w:rPr>
          <w:rFonts w:ascii="Calibri" w:hAnsi="Calibri"/>
          <w:b/>
          <w:sz w:val="26"/>
          <w:rtl w:val="1"/>
        </w:rPr>
        <w:t>X5</w:t>
      </w:r>
    </w:p>
    <w:p>
      <w:pPr>
        <w:bidi w:val="1"/>
        <w:jc w:val="right"/>
      </w:pPr>
      <w:r>
        <w:rPr>
          <w:rFonts w:ascii="Calibri" w:hAnsi="Calibri"/>
          <w:b w:val="0"/>
          <w:sz w:val="21"/>
          <w:rtl w:val="1"/>
        </w:rPr>
        <w:t>كبسولة الأزواج مع خيار شرفة بانورامية — وحدة المنتجع الكلاسيكية ذات الغرفة الواحدة.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8500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28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 (خيار الشرفة)</w:t>
            </w:r>
          </w:p>
        </w:tc>
      </w:tr>
    </w:tbl>
    <w:p/>
    <w:p>
      <w:pPr>
        <w:pStyle w:val="Heading2"/>
        <w:bidi w:val="1"/>
        <w:jc w:val="right"/>
      </w:pPr>
      <w:r>
        <w:rPr>
          <w:rFonts w:ascii="Calibri" w:hAnsi="Calibri"/>
          <w:b/>
          <w:sz w:val="26"/>
          <w:rtl w:val="1"/>
        </w:rPr>
        <w:t>X3</w:t>
      </w:r>
    </w:p>
    <w:p>
      <w:pPr>
        <w:bidi w:val="1"/>
        <w:jc w:val="right"/>
      </w:pPr>
      <w:r>
        <w:rPr>
          <w:rFonts w:ascii="Calibri" w:hAnsi="Calibri"/>
          <w:b w:val="0"/>
          <w:sz w:val="21"/>
          <w:rtl w:val="1"/>
        </w:rPr>
        <w:t>كبسولة الدخول: تجربة الكبسولة الكاملة في أصغر بصمة ضمن سلسلة X.</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5600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18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w:t>
            </w:r>
          </w:p>
        </w:tc>
      </w:tr>
    </w:tbl>
    <w:p/>
    <w:p>
      <w:pPr>
        <w:pStyle w:val="Heading1"/>
        <w:bidi w:val="1"/>
        <w:jc w:val="right"/>
      </w:pPr>
      <w:r>
        <w:rPr>
          <w:rFonts w:ascii="Calibri" w:hAnsi="Calibri"/>
          <w:b/>
          <w:sz w:val="32"/>
          <w:rtl w:val="1"/>
        </w:rPr>
        <w:t>3. منازل كبسولة التفاحة</w:t>
      </w:r>
    </w:p>
    <w:p>
      <w:pPr>
        <w:pStyle w:val="Heading2"/>
        <w:bidi w:val="1"/>
        <w:jc w:val="right"/>
      </w:pPr>
      <w:r>
        <w:rPr>
          <w:rFonts w:ascii="Calibri" w:hAnsi="Calibri"/>
          <w:b/>
          <w:sz w:val="26"/>
          <w:rtl w:val="1"/>
        </w:rPr>
        <w:t>Double-Layer Apple</w:t>
      </w:r>
    </w:p>
    <w:p>
      <w:pPr>
        <w:bidi w:val="1"/>
        <w:jc w:val="right"/>
      </w:pPr>
      <w:r>
        <w:rPr>
          <w:rFonts w:ascii="Calibri" w:hAnsi="Calibri"/>
          <w:b w:val="0"/>
          <w:sz w:val="21"/>
          <w:rtl w:val="1"/>
        </w:rPr>
        <w:t>كبينتا تفاحة متراكبتان تشكّلان فيلا صغيرة من طابقين: 52 m² للعائلات والمجموعات، وهي الوحدة الأعلى عائدًا للقطع المميزة.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لكل طابق (L) 8000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26 m² لكل طابق، 52 m² إجمالًا</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4–6 نزلاء</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15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غرفتا نوم، حمّام واحد؛ أو غرفة نوم واحدة، غرفة معيشة واحدة، حمّام واحد</w:t>
            </w:r>
          </w:p>
        </w:tc>
      </w:tr>
    </w:tbl>
    <w:p/>
    <w:p>
      <w:pPr>
        <w:pStyle w:val="Heading2"/>
        <w:bidi w:val="1"/>
        <w:jc w:val="right"/>
      </w:pPr>
      <w:r>
        <w:rPr>
          <w:rFonts w:ascii="Calibri" w:hAnsi="Calibri"/>
          <w:b/>
          <w:sz w:val="26"/>
          <w:rtl w:val="1"/>
        </w:rPr>
        <w:t>P7</w:t>
      </w:r>
    </w:p>
    <w:p>
      <w:pPr>
        <w:bidi w:val="1"/>
        <w:jc w:val="right"/>
      </w:pPr>
      <w:r>
        <w:rPr>
          <w:rFonts w:ascii="Calibri" w:hAnsi="Calibri"/>
          <w:b w:val="0"/>
          <w:sz w:val="21"/>
          <w:rtl w:val="1"/>
        </w:rPr>
        <w:t>أكبر كبينة تفاحة من طابق واحد — جناح متكامل مع غرفة معيشة ضمن الشكل الدائري المميز للتفاحة.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11500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38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2–4 نزلاء</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15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غرفة معيشة واحدة، حمّام واحد</w:t>
            </w:r>
          </w:p>
        </w:tc>
      </w:tr>
    </w:tbl>
    <w:p/>
    <w:p>
      <w:pPr>
        <w:pStyle w:val="Heading2"/>
        <w:bidi w:val="1"/>
        <w:jc w:val="right"/>
      </w:pPr>
      <w:r>
        <w:rPr>
          <w:rFonts w:ascii="Calibri" w:hAnsi="Calibri"/>
          <w:b/>
          <w:sz w:val="26"/>
          <w:rtl w:val="1"/>
        </w:rPr>
        <w:t>P5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9500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31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w:t>
            </w:r>
          </w:p>
        </w:tc>
      </w:tr>
    </w:tbl>
    <w:p/>
    <w:p>
      <w:pPr>
        <w:pStyle w:val="Heading2"/>
        <w:bidi w:val="1"/>
        <w:jc w:val="right"/>
      </w:pPr>
      <w:r>
        <w:rPr>
          <w:rFonts w:ascii="Calibri" w:hAnsi="Calibri"/>
          <w:b/>
          <w:sz w:val="26"/>
          <w:rtl w:val="1"/>
        </w:rPr>
        <w:t>P3</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5600 x (W) 3300 x (H) 3200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18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w:t>
            </w:r>
          </w:p>
        </w:tc>
      </w:tr>
    </w:tbl>
    <w:p/>
    <w:p>
      <w:pPr>
        <w:pStyle w:val="Heading2"/>
        <w:bidi w:val="1"/>
        <w:jc w:val="right"/>
      </w:pPr>
      <w:r>
        <w:rPr>
          <w:rFonts w:ascii="Calibri" w:hAnsi="Calibri"/>
          <w:b/>
          <w:sz w:val="26"/>
          <w:rtl w:val="1"/>
        </w:rPr>
        <w:t>S3</w:t>
      </w:r>
    </w:p>
    <w:p>
      <w:pPr>
        <w:bidi w:val="1"/>
        <w:jc w:val="right"/>
      </w:pPr>
      <w:r>
        <w:rPr>
          <w:rFonts w:ascii="Calibri" w:hAnsi="Calibri"/>
          <w:b w:val="0"/>
          <w:sz w:val="21"/>
          <w:rtl w:val="1"/>
        </w:rPr>
        <w:t>الكبينة المدمجة ضيقة البدن (بعرض 2.2 m) للقطع الضيقة، واستوديوهات الأفنية الخلفية، ومكاتب المواقع، والغرف الإضافية.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(L) 5600 x (W) 2200 x (H) 2400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13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حمّام واحد</w:t>
            </w:r>
          </w:p>
        </w:tc>
      </w:tr>
    </w:tbl>
    <w:p/>
    <w:p>
      <w:pPr>
        <w:pStyle w:val="Heading1"/>
        <w:bidi w:val="1"/>
        <w:jc w:val="right"/>
      </w:pPr>
      <w:r>
        <w:rPr>
          <w:rFonts w:ascii="Calibri" w:hAnsi="Calibri"/>
          <w:b/>
          <w:sz w:val="32"/>
          <w:rtl w:val="1"/>
        </w:rPr>
        <w:t>4. المنزل المثلث</w:t>
      </w:r>
    </w:p>
    <w:p>
      <w:pPr>
        <w:pStyle w:val="Heading2"/>
        <w:bidi w:val="1"/>
        <w:jc w:val="right"/>
      </w:pPr>
      <w:r>
        <w:rPr>
          <w:rFonts w:ascii="Calibri" w:hAnsi="Calibri"/>
          <w:b/>
          <w:sz w:val="26"/>
          <w:rtl w:val="1"/>
        </w:rPr>
        <w:t>V6</w:t>
      </w:r>
    </w:p>
    <w:p>
      <w:pPr>
        <w:bidi w:val="1"/>
        <w:jc w:val="right"/>
      </w:pPr>
      <w:r>
        <w:rPr>
          <w:rFonts w:ascii="Calibri" w:hAnsi="Calibri"/>
          <w:b w:val="0"/>
          <w:sz w:val="21"/>
          <w:rtl w:val="1"/>
        </w:rPr>
        <w:t>منزل مثلث بإطار A على طابقين، وهو التصميم المركّب في صفوف على شاطئ دونغفانغ في هاينان وفي جزيرة شونشا: غرفة نوم علوية فوق طابق معيشة، مع واجهة زجاجية كاملة تطل على المنظر.</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المعيار</w:t>
            </w:r>
          </w:p>
        </w:tc>
        <w:tc>
          <w:tcPr>
            <w:tcW w:type="dxa" w:w="5112"/>
            <w:shd w:val="clear" w:fill="D9E2F3"/>
          </w:tcPr>
          <w:p>
            <w:pPr>
              <w:bidi w:val="1"/>
              <w:jc w:val="right"/>
            </w:pPr>
            <w:r/>
            <w:r>
              <w:rPr>
                <w:rFonts w:ascii="Calibri" w:hAnsi="Calibri"/>
                <w:b/>
                <w:sz w:val="16"/>
                <w:rtl w:val="1"/>
              </w:rPr>
              <w:t>المواصفات</w:t>
            </w:r>
          </w:p>
        </w:tc>
      </w:tr>
      <w:tr>
        <w:tc>
          <w:tcPr>
            <w:tcW w:type="dxa" w:w="5112"/>
          </w:tcPr>
          <w:p>
            <w:pPr>
              <w:bidi w:val="1"/>
              <w:jc w:val="right"/>
            </w:pPr>
            <w:r/>
            <w:r>
              <w:rPr>
                <w:rFonts w:ascii="Calibri" w:hAnsi="Calibri"/>
                <w:b w:val="0"/>
                <w:sz w:val="16"/>
                <w:rtl w:val="1"/>
              </w:rPr>
              <w:t>الأبعاد</w:t>
            </w:r>
          </w:p>
        </w:tc>
        <w:tc>
          <w:tcPr>
            <w:tcW w:type="dxa" w:w="5112"/>
          </w:tcPr>
          <w:p>
            <w:pPr>
              <w:bidi w:val="1"/>
              <w:jc w:val="right"/>
            </w:pPr>
            <w:r/>
            <w:r>
              <w:rPr>
                <w:rFonts w:ascii="Calibri" w:hAnsi="Calibri"/>
                <w:b w:val="0"/>
                <w:sz w:val="16"/>
                <w:rtl w:val="1"/>
              </w:rPr>
              <w:t>الطابق 1 (L) 5550 x (W) 4050 x (H) 2550 mm؛ الطابق 2 (L) 5550 x (W) 2850 x (H) 2550 mm</w:t>
            </w:r>
          </w:p>
        </w:tc>
      </w:tr>
      <w:tr>
        <w:tc>
          <w:tcPr>
            <w:tcW w:type="dxa" w:w="5112"/>
          </w:tcPr>
          <w:p>
            <w:pPr>
              <w:bidi w:val="1"/>
              <w:jc w:val="right"/>
            </w:pPr>
            <w:r/>
            <w:r>
              <w:rPr>
                <w:rFonts w:ascii="Calibri" w:hAnsi="Calibri"/>
                <w:b w:val="0"/>
                <w:sz w:val="16"/>
                <w:rtl w:val="1"/>
              </w:rPr>
              <w:t>مساحة البناء</w:t>
            </w:r>
          </w:p>
        </w:tc>
        <w:tc>
          <w:tcPr>
            <w:tcW w:type="dxa" w:w="5112"/>
          </w:tcPr>
          <w:p>
            <w:pPr>
              <w:bidi w:val="1"/>
              <w:jc w:val="right"/>
            </w:pPr>
            <w:r/>
            <w:r>
              <w:rPr>
                <w:rFonts w:ascii="Calibri" w:hAnsi="Calibri"/>
                <w:b w:val="0"/>
                <w:sz w:val="16"/>
                <w:rtl w:val="1"/>
              </w:rPr>
              <w:t>22.4 m² + 15.8 m²</w:t>
            </w:r>
          </w:p>
        </w:tc>
      </w:tr>
      <w:tr>
        <w:tc>
          <w:tcPr>
            <w:tcW w:type="dxa" w:w="5112"/>
          </w:tcPr>
          <w:p>
            <w:pPr>
              <w:bidi w:val="1"/>
              <w:jc w:val="right"/>
            </w:pPr>
            <w:r/>
            <w:r>
              <w:rPr>
                <w:rFonts w:ascii="Calibri" w:hAnsi="Calibri"/>
                <w:b w:val="0"/>
                <w:sz w:val="16"/>
                <w:rtl w:val="1"/>
              </w:rPr>
              <w:t>عدد النزلاء</w:t>
            </w:r>
          </w:p>
        </w:tc>
        <w:tc>
          <w:tcPr>
            <w:tcW w:type="dxa" w:w="5112"/>
          </w:tcPr>
          <w:p>
            <w:pPr>
              <w:bidi w:val="1"/>
              <w:jc w:val="right"/>
            </w:pPr>
            <w:r/>
            <w:r>
              <w:rPr>
                <w:rFonts w:ascii="Calibri" w:hAnsi="Calibri"/>
                <w:b w:val="0"/>
                <w:sz w:val="16"/>
                <w:rtl w:val="1"/>
              </w:rPr>
              <w:t>نزيلان</w:t>
            </w:r>
          </w:p>
        </w:tc>
      </w:tr>
      <w:tr>
        <w:tc>
          <w:tcPr>
            <w:tcW w:type="dxa" w:w="5112"/>
          </w:tcPr>
          <w:p>
            <w:pPr>
              <w:bidi w:val="1"/>
              <w:jc w:val="right"/>
            </w:pPr>
            <w:r/>
            <w:r>
              <w:rPr>
                <w:rFonts w:ascii="Calibri" w:hAnsi="Calibri"/>
                <w:b w:val="0"/>
                <w:sz w:val="16"/>
                <w:rtl w:val="1"/>
              </w:rPr>
              <w:t>القدرة الكهربائية الإجمالية</w:t>
            </w:r>
          </w:p>
        </w:tc>
        <w:tc>
          <w:tcPr>
            <w:tcW w:type="dxa" w:w="5112"/>
          </w:tcPr>
          <w:p>
            <w:pPr>
              <w:bidi w:val="1"/>
              <w:jc w:val="right"/>
            </w:pPr>
            <w:r/>
            <w:r>
              <w:rPr>
                <w:rFonts w:ascii="Calibri" w:hAnsi="Calibri"/>
                <w:b w:val="0"/>
                <w:sz w:val="16"/>
                <w:rtl w:val="1"/>
              </w:rPr>
              <w:t>10 kW</w:t>
            </w:r>
          </w:p>
        </w:tc>
      </w:tr>
      <w:tr>
        <w:tc>
          <w:tcPr>
            <w:tcW w:type="dxa" w:w="5112"/>
          </w:tcPr>
          <w:p>
            <w:pPr>
              <w:bidi w:val="1"/>
              <w:jc w:val="right"/>
            </w:pPr>
            <w:r/>
            <w:r>
              <w:rPr>
                <w:rFonts w:ascii="Calibri" w:hAnsi="Calibri"/>
                <w:b w:val="0"/>
                <w:sz w:val="16"/>
                <w:rtl w:val="1"/>
              </w:rPr>
              <w:t>التوزيع الداخلي</w:t>
            </w:r>
          </w:p>
        </w:tc>
        <w:tc>
          <w:tcPr>
            <w:tcW w:type="dxa" w:w="5112"/>
          </w:tcPr>
          <w:p>
            <w:pPr>
              <w:bidi w:val="1"/>
              <w:jc w:val="right"/>
            </w:pPr>
            <w:r/>
            <w:r>
              <w:rPr>
                <w:rFonts w:ascii="Calibri" w:hAnsi="Calibri"/>
                <w:b w:val="0"/>
                <w:sz w:val="16"/>
                <w:rtl w:val="1"/>
              </w:rPr>
              <w:t>غرفة نوم واحدة، غرفة معيشة واحدة، حمّام واحد</w:t>
            </w:r>
          </w:p>
        </w:tc>
      </w:tr>
    </w:tbl>
    <w:p/>
    <w:p>
      <w:pPr>
        <w:pStyle w:val="Heading1"/>
        <w:bidi w:val="1"/>
        <w:jc w:val="right"/>
      </w:pPr>
      <w:r>
        <w:rPr>
          <w:rFonts w:ascii="Calibri" w:hAnsi="Calibri"/>
          <w:b/>
          <w:sz w:val="32"/>
          <w:rtl w:val="1"/>
        </w:rPr>
        <w:t>مشاريع منجزة</w:t>
      </w:r>
    </w:p>
    <w:p>
      <w:pPr>
        <w:bidi w:val="1"/>
        <w:jc w:val="right"/>
      </w:pPr>
      <w:r>
        <w:rPr>
          <w:rFonts w:ascii="Calibri" w:hAnsi="Calibri"/>
          <w:b w:val="0"/>
          <w:sz w:val="21"/>
          <w:rtl w:val="1"/>
        </w:rPr>
        <w:t>تشمل المشاريع المنجزة منتجع جزيرة شونشا في شيانغشاوان بمنغوليا الداخلية (V6 + X7 — من بين أكبر منتجعات الكبسولة المبنية)، وصفًا من وحدات V6 على شاطئ دونغفانغ في هاينان، وتركيبًا في منطقة ثلجية في النرويج، ومخيم كبسولات مخططًا رئيسيًا في أيرلندا، إضافة إلى مشاريع في ماليزيا وتايوان وهوانغشان ونينغده وييتشون وتشونغشان وقوانغتشو. وفي الإجمال: أكثر من 100 مشروع في أكثر من 60 مدينة عبر أكثر من 20 دولة.</w:t>
      </w:r>
    </w:p>
    <w:p>
      <w:pPr>
        <w:pStyle w:val="Heading1"/>
        <w:bidi w:val="1"/>
        <w:jc w:val="right"/>
      </w:pPr>
      <w:r>
        <w:rPr>
          <w:rFonts w:ascii="Calibri" w:hAnsi="Calibri"/>
          <w:b/>
          <w:sz w:val="32"/>
          <w:rtl w:val="1"/>
        </w:rPr>
        <w:t>النقل والتركيب</w:t>
      </w:r>
    </w:p>
    <w:p>
      <w:pPr>
        <w:bidi w:val="1"/>
        <w:jc w:val="right"/>
      </w:pPr>
      <w:r>
        <w:rPr>
          <w:rFonts w:ascii="Calibri" w:hAnsi="Calibri"/>
          <w:b w:val="0"/>
          <w:sz w:val="21"/>
          <w:rtl w:val="1"/>
        </w:rPr>
        <w:t>تُشحن الوحدات كاملة بشاحنة مسطحة أو حاوية ذات رف مسطح (عرض النقل نحو 3 m، والارتفاع حتى 4.2 m). وفي الموقع، ترفع رافعة بقدرة 25 t أو أكثر الوحدة التي تزن 6–10 t وتضعها على نقاط الدعم المهيأة؛ ويرشد فنيونا عملية توصيل المياه والطاقة والصرف الصحي والتموضع النهائي.</w:t>
      </w:r>
    </w:p>
    <w:p>
      <w:pPr>
        <w:pStyle w:val="Heading1"/>
        <w:bidi w:val="1"/>
        <w:jc w:val="right"/>
      </w:pPr>
      <w:r>
        <w:rPr>
          <w:rFonts w:ascii="Calibri" w:hAnsi="Calibri"/>
          <w:b/>
          <w:sz w:val="32"/>
          <w:rtl w:val="1"/>
        </w:rPr>
        <w:t>للتواصل</w:t>
      </w:r>
    </w:p>
    <w:p>
      <w:pPr>
        <w:pStyle w:val="ListBullet"/>
        <w:bidi w:val="1"/>
        <w:jc w:val="right"/>
      </w:pPr>
      <w:r>
        <w:rPr>
          <w:rFonts w:ascii="Calibri" w:hAnsi="Calibri"/>
          <w:b w:val="0"/>
          <w:sz w:val="21"/>
          <w:rtl w:val="1"/>
        </w:rPr>
        <w:t>البريد الإلكتروني: gosanya@gmail.com</w:t>
      </w:r>
    </w:p>
    <w:p>
      <w:pPr>
        <w:pStyle w:val="ListBullet"/>
        <w:bidi w:val="1"/>
        <w:jc w:val="right"/>
      </w:pPr>
      <w:r>
        <w:rPr>
          <w:rFonts w:ascii="Calibri" w:hAnsi="Calibri"/>
          <w:b w:val="0"/>
          <w:sz w:val="21"/>
          <w:rtl w:val="1"/>
        </w:rPr>
        <w:t>WhatsApp: +86 139 2516 5566 (wa.me/8613925165566)</w:t>
      </w:r>
    </w:p>
    <w:p>
      <w:pPr>
        <w:pStyle w:val="ListBullet"/>
        <w:bidi w:val="1"/>
        <w:jc w:val="right"/>
      </w:pPr>
      <w:r>
        <w:rPr>
          <w:rFonts w:ascii="Calibri" w:hAnsi="Calibri"/>
          <w:b w:val="0"/>
          <w:sz w:val="21"/>
          <w:rtl w:val="1"/>
        </w:rPr>
        <w:t>العنوان: Room 1201, Block C, Shimao Center, Longhua District, Haikou, Hainan, China</w:t>
      </w:r>
    </w:p>
    <w:p>
      <w:pPr>
        <w:pStyle w:val="ListBullet"/>
        <w:bidi w:val="1"/>
        <w:jc w:val="right"/>
      </w:pPr>
      <w:r>
        <w:rPr>
          <w:rFonts w:ascii="Calibri" w:hAnsi="Calibri"/>
          <w:b w:val="0"/>
          <w:sz w:val="21"/>
          <w:rtl w:val="1"/>
        </w:rPr>
        <w:t>نرد خلال 24 ساعة.</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